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01397" w:rsidRDefault="00101397" w:rsidP="00101397">
      <w:pPr>
        <w:jc w:val="center"/>
        <w:rPr>
          <w:b/>
        </w:rPr>
      </w:pPr>
      <w:r>
        <w:rPr>
          <w:b/>
        </w:rPr>
        <w:t>KLAIPĖDOS „MEDEINĖS“ MOKYKLOS 2022 METŲ VEIKLOS ATASKAITA</w:t>
      </w:r>
    </w:p>
    <w:p w:rsidR="00101397" w:rsidRDefault="00101397" w:rsidP="00101397">
      <w:pPr>
        <w:jc w:val="both"/>
      </w:pPr>
    </w:p>
    <w:p w:rsidR="00101397" w:rsidRDefault="00101397" w:rsidP="00101397">
      <w:pPr>
        <w:ind w:firstLine="709"/>
        <w:jc w:val="both"/>
      </w:pPr>
      <w:r>
        <w:t>Klaipėdos „Medeinės“ mokykla (toliau – Mokykla) įgyvendina pradinio, pagrindinio, socialinių įgūdžių ugdymo (toliau – SĮU), neformalaus švietimo individualizuotas ugdymo programas. 2022 m. rugsėjo 1 d. duomenimis, mokykloje buvo ugdomi 143 mokiniai (2021 m. – 136), iš jų: 41 mokinys 1–4 klasėse, 51 mokinys – 5–8 klasėse,  21 mokinys – 9–10 klasėse, 30 mokinių – SĮU klasėse. Dirbo 38 pedagogai (2021 m. – 40 pedagogų), t. y. 38,62 etato, ir 65 nepedagoginiai darbuotojai, t. y. 42,57 etato.</w:t>
      </w:r>
    </w:p>
    <w:p w:rsidR="00101397" w:rsidRDefault="00101397" w:rsidP="00101397">
      <w:pPr>
        <w:ind w:firstLine="709"/>
        <w:jc w:val="both"/>
      </w:pPr>
      <w:r>
        <w:t xml:space="preserve">Praėjusiais metais Mokykla veikė vadovaudamasi 2022–2024 m. strateginiu planu (toliau – Strateginis planas) ir 2022 m. veiklos planu (toliau – Veiklos planas). Mokyklos bendruomenė 2022 m. iškėlė šias prioritetines veiklos kryptis: profesinis pedagogų skaitmeninio raštingumo tobulinimas / gilinimas, mokinių pasiekimų ir švietimo pagalbos individualizavimas, duomenų analize ir įsivertinimu pagrįstos švietimo kokybės užtikrinimas, kuriant savivaldos, socialinės partnerystės ir vadovų lyderystės darną. Siekta tokio strateginio tikslo: užtikrinti aukštą švietimo paslaugų kokybę ir prieinamumą didelių ir labai didelių specialiųjų poreikių turintiems mokiniams (toliau– SPM), plėtojant švietimo pagalbos ir konsultavimo paslaugas. Strateginiame ir Veiklos planuose buvo iškelti konkretūs veiklos tikslai ir uždaviniai, numatytos pamatuotos priemonės laukiamam rezultatui pasiekti. </w:t>
      </w:r>
    </w:p>
    <w:p w:rsidR="00101397" w:rsidRDefault="00101397" w:rsidP="00101397">
      <w:pPr>
        <w:ind w:firstLine="709"/>
        <w:jc w:val="both"/>
      </w:pPr>
      <w:r>
        <w:t>Siekiant Strateginio plano pirmojo tikslo – užtikrinti aukštą švietimo paslaugų kokybę ir prieinamumą mokiniams, mokyklos veikla buvo orientuojama į pradinio, pagrindinio, SĮU bei neformaliojo mokinių švietimo individualizuotų programų kokybės užtikrinimą mokiniams, turintiems didelių ir labai didelių specialiųjų poreikių. Tikslams pasiekti buvo vykdyti keturi Veiklos plano uždaviniai:</w:t>
      </w:r>
    </w:p>
    <w:p w:rsidR="00101397" w:rsidRDefault="00101397" w:rsidP="00101397">
      <w:pPr>
        <w:ind w:firstLine="709"/>
        <w:jc w:val="both"/>
      </w:pPr>
      <w:r>
        <w:t>Įgyvendinant pirmąjį uždavinį – laiduoti individualizuotų ugdymo(si) programų įvairovę – teikiant papildomas paslaugas buvo įgyvendintas ugdymo(si) proceso kokybiškumas ir ugdymo(si) aplinkos užtikrinimas mokiniams: teikiant specialiąją pedagoginę (38 pedagogai), medicininę (2 bendrosios praktikos slaugytojos), psichologinę pagalbą (2 psichologai). Teikiamų paslaugų kokybė pagerėjo, nes buvo atnaujintos edukacinės aplinkos 9 patalpose, pakeistos grindų dangos (250 m²), įsigyta kompiuterinės įrangos už 8000 Eur. Darbuotojų, teikiančių papildomas paslaugas SPM, skaičius išliko stabilus.</w:t>
      </w:r>
    </w:p>
    <w:p w:rsidR="00101397" w:rsidRDefault="00101397" w:rsidP="00101397">
      <w:pPr>
        <w:ind w:firstLine="709"/>
        <w:jc w:val="both"/>
      </w:pPr>
      <w:r>
        <w:t>Įgyvendinant antrąjį uždavinį – sudaryti galimybes kiekvienam mokiniui patirti įvairius ugdymo(si) būdus netradicinėse aplinkose – buvo organizuoti edukaciniai užsiėmimai miesto viešose erdvėse: bibliotekose (8), muziejuose (9), aikštėse (10), sporto salėse (9), organizuotos edukacinės išvykos į kitus miestus (5): Kėdainius, Kauną, Vilnių, Druskininkus, Panevėžį. Iš viso organizuoti 29 renginiai netradicinėse ugdymo(si) erdvėse (2021 m. – 27). Vykdomas neformalus švietimas ir sporto mokyklose (BĮ  Klaipėdos „Gintaro“ sporto centras – 16 mokinių,  Vlado Knašiaus krepšinio mokykla – 15 mokinių, „Verslumo sporto centras“ – 5 mokiniai, VŠĮ Klaipėdos futbolo mokykla – 23 mokiniai). Mokiniai įgijo pažinimo, pilietiškumo, komunikavimo, skaitmeninio raštingumo kompetencijų – savarankiškumo lygis pakilo nuo 54 % iki 67 %. Vyko aktyvus mokytojų bendradarbiavimas su išoriniais partneriais (miesto, respublikos švietimo įstaigomis, religinėmis bendruomenėmis, muziejais, nevyriausybinėmis organizacijomis). 100% mokytojų dalyvavo bendrose su socialiniais partneriais organizuojamose veiklose. Mokyklos ugdytiniai aktyviai dalyvavo olimpiadose, projektuose, konkursuose, varžybose: tarptautiniuose  – 102 (2021 m. – 98), šalies – 117 (2021 m. – 102), miesto – 124 (2021 m. – 115) ir užėmė prizines vietas: tarptautiniuose renginiuose – 8, šalies – 11, miesto – 14.</w:t>
      </w:r>
    </w:p>
    <w:p w:rsidR="00101397" w:rsidRDefault="00101397" w:rsidP="00101397">
      <w:pPr>
        <w:ind w:firstLine="709"/>
        <w:jc w:val="both"/>
      </w:pPr>
      <w:r>
        <w:t xml:space="preserve">Įgyvendinant trečiąjį uždavinį – plėtoti švietimo pagalbos ir konsultavimo paslaugas mokykloje, mieste, rajone – Mokyklos mokytojai konsultantai 2022 m. vedė 15 paskaitų bendrojo </w:t>
      </w:r>
      <w:r>
        <w:lastRenderedPageBreak/>
        <w:t>ugdymo mokyklų pedagogams, tėvams, aukštųjų mokyklų dėstytojams apie SPM individualizuotą ugdymą. Organizuoti šie renginiai: respublikinis konkursas „Kūrybinės metodinės priemonės dirbant su SPM“, tarptautinė konferencija „Bendrųjų programų atnaujinimas dirbant su SPM“ Vilniaus rajono ir Liepojos pedagogams, mokytojai ir pagalbos mokiniui specialistai skaitė pranešimus miesto pedagogams, kaip individualizuoti ugdymą dirbant su SPM, vyko pedagoginės gerosios patirties sklaida, kaip organizuoti individualizuotą ugdymą dirbant su skaitmeninėmis programomis. Darbuotojų  kvalifikacijai skirtos lėšos (844 Eur)įsisavintos 100 %; per metus pedagogai vidutiniškai 10 dienų tobulino kvalifikaciją.</w:t>
      </w:r>
    </w:p>
    <w:p w:rsidR="00101397" w:rsidRDefault="00101397" w:rsidP="00101397">
      <w:pPr>
        <w:ind w:firstLine="709"/>
        <w:jc w:val="both"/>
      </w:pPr>
      <w:r>
        <w:t>Įgyvendinant ketvirtąjį uždavinį – puoselėti Mokyklos bendruomenės bendradarbiavimo kultūrą ir tradicijas – buvo organizuoti ir vesti gerosios patirties sklaidos renginiai, kurie sustiprino bendradarbiavimo kultūrą ir tradicijas: mokinių patriotiškumo ir visuomeniškumo lavinimui, susidomint Lietuvos tautos istorija (12); kalendorinėms šventėms paminėti (15); Mokyklos tradicijoms puoselėti (8).  Renginiai organizuoti visai Mokyklos bendruomenei, aktyviai dalyvaujant mokinių tėvams ir socialiniams partneriams. Kiekvieno renginio sklaida vyko socialiniuose tinkluose, miesto ir respublikinėje spaudoje, supažindinant visuomenę su Mokyklos veikla.</w:t>
      </w:r>
    </w:p>
    <w:p w:rsidR="00101397" w:rsidRDefault="00101397" w:rsidP="00101397">
      <w:pPr>
        <w:ind w:firstLine="709"/>
        <w:jc w:val="both"/>
      </w:pPr>
      <w:r>
        <w:t xml:space="preserve">Siekiant antrojo Strateginio plano tikslo, Mokyklos veikla buvo orientuojama į švietimo pagalbos ir konsultavimo paslaugas mokykloje, mieste, regione. Tikslui pasiekti buvo plėtojama metodinio kabineto, teikiančio individualizuotą konsultacinę pagalbą, veikla, įsigyta metodinių priemonių. Mokykla įsigijo individualizuotų ugdymo priemonių (muzikos, kalbos ugdymo, regos, klausos korekcijos, sensomotorinių, kompensacinių priemonių, kompiuterių ir jų priedų, alternatyvių pelių, klaviatūrų, jungiklių) už 8000 Eur (2021 m. – 7100).                                                                                                                                                                                                                                                                </w:t>
      </w:r>
    </w:p>
    <w:p w:rsidR="00101397" w:rsidRDefault="00101397" w:rsidP="00101397">
      <w:pPr>
        <w:ind w:firstLine="709"/>
        <w:jc w:val="both"/>
      </w:pPr>
      <w:r>
        <w:t>2022 m. Mokyklos finansinė situacija buvo tokia:</w:t>
      </w:r>
    </w:p>
    <w:tbl>
      <w:tblPr>
        <w:tblStyle w:val="Lentelstinklelis"/>
        <w:tblW w:w="9643" w:type="dxa"/>
        <w:jc w:val="center"/>
        <w:tblLook w:val="04A0" w:firstRow="1" w:lastRow="0" w:firstColumn="1" w:lastColumn="0" w:noHBand="0" w:noVBand="1"/>
      </w:tblPr>
      <w:tblGrid>
        <w:gridCol w:w="2190"/>
        <w:gridCol w:w="1494"/>
        <w:gridCol w:w="1438"/>
        <w:gridCol w:w="1283"/>
        <w:gridCol w:w="3238"/>
      </w:tblGrid>
      <w:tr w:rsidR="00101397" w:rsidTr="00101397">
        <w:trPr>
          <w:jc w:val="center"/>
        </w:trPr>
        <w:tc>
          <w:tcPr>
            <w:tcW w:w="2190" w:type="dxa"/>
            <w:vMerge w:val="restart"/>
            <w:tcBorders>
              <w:top w:val="single" w:sz="4" w:space="0" w:color="auto"/>
              <w:left w:val="single" w:sz="4" w:space="0" w:color="auto"/>
              <w:bottom w:val="single" w:sz="4" w:space="0" w:color="auto"/>
              <w:right w:val="single" w:sz="4" w:space="0" w:color="auto"/>
            </w:tcBorders>
            <w:hideMark/>
          </w:tcPr>
          <w:p w:rsidR="00101397" w:rsidRDefault="00101397">
            <w: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101397" w:rsidRDefault="00101397">
            <w:r>
              <w:t>Lėšos (Eur)</w:t>
            </w:r>
          </w:p>
        </w:tc>
        <w:tc>
          <w:tcPr>
            <w:tcW w:w="3238" w:type="dxa"/>
            <w:vMerge w:val="restart"/>
            <w:tcBorders>
              <w:top w:val="single" w:sz="4" w:space="0" w:color="auto"/>
              <w:left w:val="single" w:sz="4" w:space="0" w:color="auto"/>
              <w:bottom w:val="single" w:sz="4" w:space="0" w:color="auto"/>
              <w:right w:val="single" w:sz="4" w:space="0" w:color="auto"/>
            </w:tcBorders>
          </w:tcPr>
          <w:p w:rsidR="00101397" w:rsidRDefault="00101397">
            <w:r>
              <w:t>Pastabos</w:t>
            </w:r>
          </w:p>
          <w:p w:rsidR="00101397" w:rsidRDefault="00101397"/>
        </w:tc>
      </w:tr>
      <w:tr w:rsidR="00101397" w:rsidTr="001013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397" w:rsidRDefault="00101397"/>
        </w:tc>
        <w:tc>
          <w:tcPr>
            <w:tcW w:w="1494" w:type="dxa"/>
            <w:tcBorders>
              <w:top w:val="single" w:sz="4" w:space="0" w:color="auto"/>
              <w:left w:val="single" w:sz="4" w:space="0" w:color="auto"/>
              <w:bottom w:val="single" w:sz="4" w:space="0" w:color="auto"/>
              <w:right w:val="single" w:sz="4" w:space="0" w:color="auto"/>
            </w:tcBorders>
            <w:hideMark/>
          </w:tcPr>
          <w:p w:rsidR="00101397" w:rsidRDefault="00101397">
            <w: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101397" w:rsidRDefault="00101397">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01397" w:rsidRDefault="00101397">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1397" w:rsidRDefault="00101397"/>
        </w:tc>
      </w:tr>
      <w:tr w:rsidR="00101397" w:rsidTr="00101397">
        <w:trPr>
          <w:trHeight w:val="415"/>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Savivaldybės biudžetas (SB)</w:t>
            </w:r>
          </w:p>
        </w:tc>
        <w:tc>
          <w:tcPr>
            <w:tcW w:w="1494"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18000,00</w:t>
            </w:r>
          </w:p>
        </w:tc>
        <w:tc>
          <w:tcPr>
            <w:tcW w:w="1438"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17255,31</w:t>
            </w:r>
          </w:p>
        </w:tc>
        <w:tc>
          <w:tcPr>
            <w:tcW w:w="1283"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 xml:space="preserve">95,9 </w:t>
            </w:r>
            <w:r>
              <w:rPr>
                <w:lang w:val="en-US"/>
              </w:rPr>
              <w:t xml:space="preserve">%   </w:t>
            </w:r>
          </w:p>
        </w:tc>
        <w:tc>
          <w:tcPr>
            <w:tcW w:w="3238" w:type="dxa"/>
            <w:tcBorders>
              <w:top w:val="single" w:sz="4" w:space="0" w:color="auto"/>
              <w:left w:val="single" w:sz="4" w:space="0" w:color="auto"/>
              <w:bottom w:val="single" w:sz="4" w:space="0" w:color="auto"/>
              <w:right w:val="single" w:sz="4" w:space="0" w:color="auto"/>
            </w:tcBorders>
            <w:hideMark/>
          </w:tcPr>
          <w:p w:rsidR="00101397" w:rsidRDefault="00101397">
            <w:pPr>
              <w:jc w:val="both"/>
            </w:pPr>
            <w:r>
              <w:t>Neįvykdyta, nes nemokamam maitinimui buvo suplanuota daugiau asignavimų negu pagal faktą prireikė</w:t>
            </w:r>
          </w:p>
        </w:tc>
      </w:tr>
      <w:tr w:rsidR="00101397" w:rsidTr="00101397">
        <w:trPr>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2316744,00</w:t>
            </w:r>
          </w:p>
        </w:tc>
        <w:tc>
          <w:tcPr>
            <w:tcW w:w="1438"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2310411,44</w:t>
            </w:r>
          </w:p>
        </w:tc>
        <w:tc>
          <w:tcPr>
            <w:tcW w:w="1283"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rPr>
                <w:lang w:val="en-US"/>
              </w:rPr>
              <w:t>99,7 %</w:t>
            </w:r>
          </w:p>
        </w:tc>
        <w:tc>
          <w:tcPr>
            <w:tcW w:w="3238" w:type="dxa"/>
            <w:tcBorders>
              <w:top w:val="single" w:sz="4" w:space="0" w:color="auto"/>
              <w:left w:val="single" w:sz="4" w:space="0" w:color="auto"/>
              <w:bottom w:val="single" w:sz="4" w:space="0" w:color="auto"/>
              <w:right w:val="single" w:sz="4" w:space="0" w:color="auto"/>
            </w:tcBorders>
          </w:tcPr>
          <w:p w:rsidR="00101397" w:rsidRDefault="00101397">
            <w:pPr>
              <w:jc w:val="both"/>
            </w:pPr>
          </w:p>
        </w:tc>
      </w:tr>
      <w:tr w:rsidR="00101397" w:rsidTr="00101397">
        <w:trPr>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hideMark/>
          </w:tcPr>
          <w:p w:rsidR="00101397" w:rsidRDefault="00101397">
            <w:pPr>
              <w:jc w:val="center"/>
              <w:rPr>
                <w:color w:val="FF0000"/>
              </w:rPr>
            </w:pPr>
            <w:r>
              <w:t>33000,00</w:t>
            </w:r>
          </w:p>
        </w:tc>
        <w:tc>
          <w:tcPr>
            <w:tcW w:w="1438" w:type="dxa"/>
            <w:tcBorders>
              <w:top w:val="single" w:sz="4" w:space="0" w:color="auto"/>
              <w:left w:val="single" w:sz="4" w:space="0" w:color="auto"/>
              <w:bottom w:val="single" w:sz="4" w:space="0" w:color="auto"/>
              <w:right w:val="single" w:sz="4" w:space="0" w:color="auto"/>
            </w:tcBorders>
            <w:hideMark/>
          </w:tcPr>
          <w:p w:rsidR="00101397" w:rsidRDefault="00101397">
            <w:pPr>
              <w:jc w:val="center"/>
              <w:rPr>
                <w:color w:val="FF0000"/>
              </w:rPr>
            </w:pPr>
            <w:r>
              <w:t>32749,89</w:t>
            </w:r>
          </w:p>
        </w:tc>
        <w:tc>
          <w:tcPr>
            <w:tcW w:w="1283" w:type="dxa"/>
            <w:tcBorders>
              <w:top w:val="single" w:sz="4" w:space="0" w:color="auto"/>
              <w:left w:val="single" w:sz="4" w:space="0" w:color="auto"/>
              <w:bottom w:val="single" w:sz="4" w:space="0" w:color="auto"/>
              <w:right w:val="single" w:sz="4" w:space="0" w:color="auto"/>
            </w:tcBorders>
            <w:hideMark/>
          </w:tcPr>
          <w:p w:rsidR="00101397" w:rsidRDefault="00101397">
            <w:pPr>
              <w:jc w:val="center"/>
              <w:rPr>
                <w:color w:val="FF0000"/>
              </w:rPr>
            </w:pPr>
            <w:r>
              <w:t>99,2</w:t>
            </w:r>
            <w:r>
              <w:rPr>
                <w:lang w:val="en-US"/>
              </w:rPr>
              <w:t>%</w:t>
            </w:r>
          </w:p>
        </w:tc>
        <w:tc>
          <w:tcPr>
            <w:tcW w:w="3238" w:type="dxa"/>
            <w:tcBorders>
              <w:top w:val="single" w:sz="4" w:space="0" w:color="auto"/>
              <w:left w:val="single" w:sz="4" w:space="0" w:color="auto"/>
              <w:bottom w:val="single" w:sz="4" w:space="0" w:color="auto"/>
              <w:right w:val="single" w:sz="4" w:space="0" w:color="auto"/>
            </w:tcBorders>
          </w:tcPr>
          <w:p w:rsidR="00101397" w:rsidRDefault="00101397">
            <w:pPr>
              <w:jc w:val="both"/>
            </w:pPr>
          </w:p>
        </w:tc>
      </w:tr>
      <w:tr w:rsidR="00101397" w:rsidTr="00101397">
        <w:trPr>
          <w:trHeight w:val="477"/>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101397" w:rsidRDefault="00101397">
            <w:pPr>
              <w:jc w:val="center"/>
            </w:pPr>
            <w:r>
              <w:t>33000,00</w:t>
            </w:r>
          </w:p>
        </w:tc>
        <w:tc>
          <w:tcPr>
            <w:tcW w:w="1438" w:type="dxa"/>
            <w:tcBorders>
              <w:top w:val="single" w:sz="4" w:space="0" w:color="auto"/>
              <w:left w:val="single" w:sz="4" w:space="0" w:color="auto"/>
              <w:bottom w:val="single" w:sz="4" w:space="0" w:color="auto"/>
              <w:right w:val="single" w:sz="4" w:space="0" w:color="auto"/>
            </w:tcBorders>
            <w:hideMark/>
          </w:tcPr>
          <w:p w:rsidR="00101397" w:rsidRDefault="00101397">
            <w:pPr>
              <w:jc w:val="center"/>
            </w:pPr>
            <w:r>
              <w:t>32749,89</w:t>
            </w:r>
          </w:p>
        </w:tc>
        <w:tc>
          <w:tcPr>
            <w:tcW w:w="1283" w:type="dxa"/>
            <w:tcBorders>
              <w:top w:val="single" w:sz="4" w:space="0" w:color="auto"/>
              <w:left w:val="single" w:sz="4" w:space="0" w:color="auto"/>
              <w:bottom w:val="single" w:sz="4" w:space="0" w:color="auto"/>
              <w:right w:val="single" w:sz="4" w:space="0" w:color="auto"/>
            </w:tcBorders>
            <w:hideMark/>
          </w:tcPr>
          <w:p w:rsidR="00101397" w:rsidRDefault="00101397">
            <w:pPr>
              <w:jc w:val="center"/>
              <w:rPr>
                <w:lang w:val="en-US"/>
              </w:rPr>
            </w:pPr>
            <w:r>
              <w:t>99,2</w:t>
            </w:r>
            <w:r>
              <w:rPr>
                <w:lang w:val="en-US"/>
              </w:rPr>
              <w:t>%</w:t>
            </w:r>
          </w:p>
        </w:tc>
        <w:tc>
          <w:tcPr>
            <w:tcW w:w="3238" w:type="dxa"/>
            <w:tcBorders>
              <w:top w:val="single" w:sz="4" w:space="0" w:color="auto"/>
              <w:left w:val="single" w:sz="4" w:space="0" w:color="auto"/>
              <w:bottom w:val="single" w:sz="4" w:space="0" w:color="auto"/>
              <w:right w:val="single" w:sz="4" w:space="0" w:color="auto"/>
            </w:tcBorders>
          </w:tcPr>
          <w:p w:rsidR="00101397" w:rsidRDefault="00101397">
            <w:pPr>
              <w:jc w:val="both"/>
            </w:pPr>
          </w:p>
        </w:tc>
      </w:tr>
      <w:tr w:rsidR="00101397" w:rsidTr="00101397">
        <w:trPr>
          <w:trHeight w:val="125"/>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101397" w:rsidRDefault="00101397">
            <w:pPr>
              <w:jc w:val="center"/>
              <w:rPr>
                <w:color w:val="FF0000"/>
              </w:rPr>
            </w:pPr>
          </w:p>
        </w:tc>
        <w:tc>
          <w:tcPr>
            <w:tcW w:w="1438" w:type="dxa"/>
            <w:tcBorders>
              <w:top w:val="single" w:sz="4" w:space="0" w:color="auto"/>
              <w:left w:val="single" w:sz="4" w:space="0" w:color="auto"/>
              <w:bottom w:val="single" w:sz="4" w:space="0" w:color="auto"/>
              <w:right w:val="single" w:sz="4" w:space="0" w:color="auto"/>
            </w:tcBorders>
          </w:tcPr>
          <w:p w:rsidR="00101397" w:rsidRDefault="00101397">
            <w:pPr>
              <w:jc w:val="center"/>
              <w:rPr>
                <w:color w:val="FF0000"/>
              </w:rPr>
            </w:pPr>
          </w:p>
        </w:tc>
        <w:tc>
          <w:tcPr>
            <w:tcW w:w="1283" w:type="dxa"/>
            <w:tcBorders>
              <w:top w:val="single" w:sz="4" w:space="0" w:color="auto"/>
              <w:left w:val="single" w:sz="4" w:space="0" w:color="auto"/>
              <w:bottom w:val="single" w:sz="4" w:space="0" w:color="auto"/>
              <w:right w:val="single" w:sz="4" w:space="0" w:color="auto"/>
            </w:tcBorders>
          </w:tcPr>
          <w:p w:rsidR="00101397" w:rsidRDefault="00101397">
            <w:pPr>
              <w:jc w:val="center"/>
              <w:rPr>
                <w:color w:val="FF0000"/>
              </w:rPr>
            </w:pPr>
          </w:p>
        </w:tc>
        <w:tc>
          <w:tcPr>
            <w:tcW w:w="3238" w:type="dxa"/>
            <w:tcBorders>
              <w:top w:val="single" w:sz="4" w:space="0" w:color="auto"/>
              <w:left w:val="single" w:sz="4" w:space="0" w:color="auto"/>
              <w:bottom w:val="single" w:sz="4" w:space="0" w:color="auto"/>
              <w:right w:val="single" w:sz="4" w:space="0" w:color="auto"/>
            </w:tcBorders>
          </w:tcPr>
          <w:p w:rsidR="00101397" w:rsidRDefault="00101397"/>
        </w:tc>
      </w:tr>
      <w:tr w:rsidR="00101397" w:rsidTr="00101397">
        <w:trPr>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1705,64</w:t>
            </w:r>
          </w:p>
        </w:tc>
        <w:tc>
          <w:tcPr>
            <w:tcW w:w="1438"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t>1705,64</w:t>
            </w:r>
          </w:p>
        </w:tc>
        <w:tc>
          <w:tcPr>
            <w:tcW w:w="1283" w:type="dxa"/>
            <w:tcBorders>
              <w:top w:val="single" w:sz="4" w:space="0" w:color="auto"/>
              <w:left w:val="single" w:sz="4" w:space="0" w:color="auto"/>
              <w:bottom w:val="single" w:sz="4" w:space="0" w:color="auto"/>
              <w:right w:val="single" w:sz="4" w:space="0" w:color="auto"/>
            </w:tcBorders>
          </w:tcPr>
          <w:p w:rsidR="00101397" w:rsidRDefault="00101397">
            <w:pPr>
              <w:jc w:val="center"/>
            </w:pPr>
          </w:p>
          <w:p w:rsidR="00101397" w:rsidRDefault="00101397">
            <w:pPr>
              <w:jc w:val="center"/>
            </w:pPr>
            <w:r>
              <w:rPr>
                <w:lang w:val="en-US"/>
              </w:rPr>
              <w:t>100 %</w:t>
            </w:r>
          </w:p>
        </w:tc>
        <w:tc>
          <w:tcPr>
            <w:tcW w:w="3238" w:type="dxa"/>
            <w:tcBorders>
              <w:top w:val="single" w:sz="4" w:space="0" w:color="auto"/>
              <w:left w:val="single" w:sz="4" w:space="0" w:color="auto"/>
              <w:bottom w:val="single" w:sz="4" w:space="0" w:color="auto"/>
              <w:right w:val="single" w:sz="4" w:space="0" w:color="auto"/>
            </w:tcBorders>
          </w:tcPr>
          <w:p w:rsidR="00101397" w:rsidRDefault="00101397">
            <w:pPr>
              <w:jc w:val="both"/>
            </w:pPr>
          </w:p>
        </w:tc>
      </w:tr>
      <w:tr w:rsidR="00101397" w:rsidTr="00101397">
        <w:trPr>
          <w:trHeight w:val="430"/>
          <w:jc w:val="center"/>
        </w:trPr>
        <w:tc>
          <w:tcPr>
            <w:tcW w:w="2190" w:type="dxa"/>
            <w:tcBorders>
              <w:top w:val="single" w:sz="4" w:space="0" w:color="auto"/>
              <w:left w:val="single" w:sz="4" w:space="0" w:color="auto"/>
              <w:bottom w:val="single" w:sz="4" w:space="0" w:color="auto"/>
              <w:right w:val="single" w:sz="4" w:space="0" w:color="auto"/>
            </w:tcBorders>
            <w:hideMark/>
          </w:tcPr>
          <w:p w:rsidR="00101397" w:rsidRDefault="00101397">
            <w:r>
              <w:t>Iš viso</w:t>
            </w:r>
          </w:p>
        </w:tc>
        <w:tc>
          <w:tcPr>
            <w:tcW w:w="1494" w:type="dxa"/>
            <w:tcBorders>
              <w:top w:val="single" w:sz="4" w:space="0" w:color="auto"/>
              <w:left w:val="single" w:sz="4" w:space="0" w:color="auto"/>
              <w:bottom w:val="single" w:sz="4" w:space="0" w:color="auto"/>
              <w:right w:val="single" w:sz="4" w:space="0" w:color="auto"/>
            </w:tcBorders>
            <w:hideMark/>
          </w:tcPr>
          <w:p w:rsidR="00101397" w:rsidRDefault="00101397">
            <w:pPr>
              <w:jc w:val="center"/>
            </w:pPr>
            <w:r>
              <w:t>2369449,64</w:t>
            </w:r>
          </w:p>
        </w:tc>
        <w:tc>
          <w:tcPr>
            <w:tcW w:w="1438" w:type="dxa"/>
            <w:tcBorders>
              <w:top w:val="single" w:sz="4" w:space="0" w:color="auto"/>
              <w:left w:val="single" w:sz="4" w:space="0" w:color="auto"/>
              <w:bottom w:val="single" w:sz="4" w:space="0" w:color="auto"/>
              <w:right w:val="single" w:sz="4" w:space="0" w:color="auto"/>
            </w:tcBorders>
            <w:hideMark/>
          </w:tcPr>
          <w:p w:rsidR="00101397" w:rsidRDefault="00101397">
            <w:pPr>
              <w:jc w:val="center"/>
            </w:pPr>
            <w:r>
              <w:t>2362122,28</w:t>
            </w:r>
          </w:p>
        </w:tc>
        <w:tc>
          <w:tcPr>
            <w:tcW w:w="1283" w:type="dxa"/>
            <w:tcBorders>
              <w:top w:val="single" w:sz="4" w:space="0" w:color="auto"/>
              <w:left w:val="single" w:sz="4" w:space="0" w:color="auto"/>
              <w:bottom w:val="single" w:sz="4" w:space="0" w:color="auto"/>
              <w:right w:val="single" w:sz="4" w:space="0" w:color="auto"/>
            </w:tcBorders>
          </w:tcPr>
          <w:p w:rsidR="00101397" w:rsidRDefault="00101397">
            <w:pPr>
              <w:jc w:val="center"/>
              <w:rPr>
                <w:lang w:val="en-US"/>
              </w:rPr>
            </w:pPr>
            <w:r>
              <w:t xml:space="preserve">99,69 </w:t>
            </w:r>
            <w:r>
              <w:rPr>
                <w:lang w:val="en-US"/>
              </w:rPr>
              <w:t>%</w:t>
            </w:r>
          </w:p>
          <w:p w:rsidR="00101397" w:rsidRDefault="00101397">
            <w:pPr>
              <w:jc w:val="center"/>
              <w:rPr>
                <w:lang w:val="en-US"/>
              </w:rPr>
            </w:pPr>
          </w:p>
          <w:p w:rsidR="00101397" w:rsidRDefault="00101397">
            <w:pPr>
              <w:jc w:val="center"/>
            </w:pPr>
          </w:p>
        </w:tc>
        <w:tc>
          <w:tcPr>
            <w:tcW w:w="3238" w:type="dxa"/>
            <w:tcBorders>
              <w:top w:val="single" w:sz="4" w:space="0" w:color="auto"/>
              <w:left w:val="single" w:sz="4" w:space="0" w:color="auto"/>
              <w:bottom w:val="single" w:sz="4" w:space="0" w:color="auto"/>
              <w:right w:val="single" w:sz="4" w:space="0" w:color="auto"/>
            </w:tcBorders>
          </w:tcPr>
          <w:p w:rsidR="00101397" w:rsidRDefault="00101397"/>
        </w:tc>
      </w:tr>
      <w:tr w:rsidR="00101397" w:rsidTr="00101397">
        <w:trPr>
          <w:jc w:val="center"/>
        </w:trPr>
        <w:tc>
          <w:tcPr>
            <w:tcW w:w="5122" w:type="dxa"/>
            <w:gridSpan w:val="3"/>
            <w:tcBorders>
              <w:top w:val="single" w:sz="4" w:space="0" w:color="auto"/>
              <w:left w:val="single" w:sz="4" w:space="0" w:color="auto"/>
              <w:bottom w:val="single" w:sz="4" w:space="0" w:color="auto"/>
              <w:right w:val="single" w:sz="4" w:space="0" w:color="auto"/>
            </w:tcBorders>
          </w:tcPr>
          <w:p w:rsidR="00101397" w:rsidRDefault="00101397">
            <w:r>
              <w:t>Kreditinis įsiskolinimas (pagal visus finansavimo šaltinius) 2023 m. sausio 1 d.  – 11,627 Eur</w:t>
            </w:r>
          </w:p>
          <w:p w:rsidR="00101397" w:rsidRDefault="00101397"/>
        </w:tc>
        <w:tc>
          <w:tcPr>
            <w:tcW w:w="1283" w:type="dxa"/>
            <w:tcBorders>
              <w:top w:val="single" w:sz="4" w:space="0" w:color="auto"/>
              <w:left w:val="single" w:sz="4" w:space="0" w:color="auto"/>
              <w:bottom w:val="single" w:sz="4" w:space="0" w:color="auto"/>
              <w:right w:val="single" w:sz="4" w:space="0" w:color="auto"/>
            </w:tcBorders>
          </w:tcPr>
          <w:p w:rsidR="00101397" w:rsidRDefault="00101397"/>
        </w:tc>
        <w:tc>
          <w:tcPr>
            <w:tcW w:w="3238" w:type="dxa"/>
            <w:tcBorders>
              <w:top w:val="single" w:sz="4" w:space="0" w:color="auto"/>
              <w:left w:val="single" w:sz="4" w:space="0" w:color="auto"/>
              <w:bottom w:val="single" w:sz="4" w:space="0" w:color="auto"/>
              <w:right w:val="single" w:sz="4" w:space="0" w:color="auto"/>
            </w:tcBorders>
            <w:hideMark/>
          </w:tcPr>
          <w:p w:rsidR="00101397" w:rsidRDefault="00101397">
            <w:pPr>
              <w:rPr>
                <w:color w:val="FF0000"/>
              </w:rPr>
            </w:pPr>
            <w:r>
              <w:rPr>
                <w:color w:val="222222"/>
                <w:shd w:val="clear" w:color="auto" w:fill="FFFFFF"/>
              </w:rPr>
              <w:t>Kreditorinis įsiskolinimas susidarė už 12 mėn. komunalinius mokesčius (šildymą), kurą, nes sąskaitas už praėjusio mėnesio laikotarpį gaunamos iki 2023 m. sausio 10 dienos</w:t>
            </w:r>
          </w:p>
        </w:tc>
      </w:tr>
    </w:tbl>
    <w:p w:rsidR="00101397" w:rsidRDefault="00101397" w:rsidP="00101397">
      <w:pPr>
        <w:ind w:firstLine="709"/>
        <w:jc w:val="both"/>
      </w:pPr>
    </w:p>
    <w:p w:rsidR="00101397" w:rsidRDefault="00101397" w:rsidP="00101397">
      <w:pPr>
        <w:ind w:firstLine="709"/>
        <w:jc w:val="both"/>
      </w:pPr>
      <w:r>
        <w:t>2022 m. atlikti patikrinimai: Lietuvos Respublikos valstybinės darbo inspekcijos patikrinimas dėl darbo vietų profesinės rizikos vertinimo. Nustatyti pažeidimai pašalinti iki nurodyto termino (atliktas darbo vietų profesinės rizikos vertinimas, parengtas profesinės rizikos šalinimo ir mažinimo priemonių planas, kuriame numatyti rizikos veiksniai, profesinės rizikos šalinimo ir mažinimo priemonės). Atliktas planinis Valstybinės maisto ir veterinarijos tarnybos patikrinimas. Tikrinimo metu pažeidimų ir neatitikimų nenustatyta.</w:t>
      </w:r>
    </w:p>
    <w:p w:rsidR="00101397" w:rsidRDefault="00101397" w:rsidP="00101397">
      <w:pPr>
        <w:ind w:firstLine="709"/>
        <w:jc w:val="both"/>
      </w:pPr>
      <w:r>
        <w:t>2022 m. Mokykloje liko neišspręstos šios problemos: pasyvus dalies šeimų dalyvavimas Mokyklos veiklose, didelė švietimo įstaigų veiklą reglamentuojančių dokumentų kaita, didėjantis vidutinis darbuotojų amžius.</w:t>
      </w:r>
    </w:p>
    <w:p w:rsidR="00101397" w:rsidRDefault="00101397" w:rsidP="00101397">
      <w:pPr>
        <w:ind w:firstLine="709"/>
        <w:jc w:val="both"/>
      </w:pPr>
      <w:r>
        <w:t>2023 m. Mokyklos bendruomenė numatė šiuos veiklos prioritetus: profesinis pedagogų skaitmeninio raštingumo tobulinimas / gilinimas, mokinių pasiekimų ir švietimo pagalbos individualizavimas bendradarbiaujant su mokinių tėvais (globėjais).</w:t>
      </w:r>
    </w:p>
    <w:p w:rsidR="00101397" w:rsidRDefault="00101397" w:rsidP="00101397">
      <w:pPr>
        <w:ind w:firstLine="709"/>
        <w:jc w:val="both"/>
      </w:pPr>
    </w:p>
    <w:p w:rsidR="00101397" w:rsidRDefault="00101397" w:rsidP="00101397"/>
    <w:p w:rsidR="00101397" w:rsidRDefault="00101397" w:rsidP="00101397">
      <w:r>
        <w:t>Direktorė</w:t>
      </w:r>
      <w:r>
        <w:tab/>
      </w:r>
      <w:r>
        <w:tab/>
      </w:r>
      <w:r>
        <w:tab/>
      </w:r>
      <w:r>
        <w:tab/>
      </w:r>
      <w:r>
        <w:tab/>
      </w:r>
      <w:r>
        <w:tab/>
        <w:t xml:space="preserve">      Elena Knyzaitė</w:t>
      </w:r>
    </w:p>
    <w:p w:rsidR="004273F6" w:rsidRPr="00832CC9" w:rsidRDefault="00101397" w:rsidP="00101397">
      <w:pPr>
        <w:jc w:val="center"/>
      </w:pPr>
      <w:r>
        <w:t>_______</w:t>
      </w:r>
      <w:bookmarkStart w:id="2" w:name="_GoBack"/>
      <w:bookmarkEnd w:id="2"/>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01397">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01397"/>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7848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5172</Words>
  <Characters>2949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2023-05-04T06:16:00Z</dcterms:modified>
</cp:coreProperties>
</file>